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itreprincipal"/>
        <w:jc w:val="left"/>
        <w:rPr>
          <w:rFonts w:ascii="Arial" w:hAnsi="Arial"/>
          <w:b w:val="false"/>
          <w:b w:val="false"/>
          <w:sz w:val="24"/>
        </w:rPr>
      </w:pPr>
      <w:r>
        <mc:AlternateContent>
          <mc:Choice Requires="wps">
            <w:drawing>
              <wp:anchor behindDoc="0" distT="40005" distB="55880" distL="0" distR="128270" simplePos="0" locked="0" layoutInCell="0" allowOverlap="1" relativeHeight="2" wp14:anchorId="2E2BBA03">
                <wp:simplePos x="0" y="0"/>
                <wp:positionH relativeFrom="margin">
                  <wp:posOffset>-553085</wp:posOffset>
                </wp:positionH>
                <wp:positionV relativeFrom="paragraph">
                  <wp:posOffset>-666115</wp:posOffset>
                </wp:positionV>
                <wp:extent cx="1997075" cy="1185545"/>
                <wp:effectExtent l="635" t="5715" r="4445" b="4445"/>
                <wp:wrapSquare wrapText="bothSides"/>
                <wp:docPr id="1" name="Zone de texte 217"/>
                <a:graphic xmlns:a="http://schemas.openxmlformats.org/drawingml/2006/main">
                  <a:graphicData uri="http://schemas.microsoft.com/office/word/2010/wordprocessingShape">
                    <wps:wsp>
                      <wps:cNvSpPr/>
                      <wps:spPr>
                        <a:xfrm>
                          <a:off x="0" y="0"/>
                          <a:ext cx="1996920" cy="118548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udecadre"/>
                              <w:rPr/>
                            </w:pPr>
                            <w:r>
                              <w:rPr/>
                              <w:drawing>
                                <wp:inline distT="0" distB="0" distL="0" distR="0">
                                  <wp:extent cx="1749425" cy="1038225"/>
                                  <wp:effectExtent l="0" t="0" r="0" b="0"/>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rcRect l="-60" t="-112" r="-60" b="-112"/>
                                          <a:stretch>
                                            <a:fillRect/>
                                          </a:stretch>
                                        </pic:blipFill>
                                        <pic:spPr bwMode="auto">
                                          <a:xfrm>
                                            <a:off x="0" y="0"/>
                                            <a:ext cx="1749425" cy="1038225"/>
                                          </a:xfrm>
                                          <a:prstGeom prst="rect">
                                            <a:avLst/>
                                          </a:prstGeom>
                                        </pic:spPr>
                                      </pic:pic>
                                    </a:graphicData>
                                  </a:graphic>
                                </wp:inline>
                              </w:drawing>
                            </w:r>
                          </w:p>
                        </w:txbxContent>
                      </wps:txbx>
                      <wps:bodyPr anchor="t">
                        <a:noAutofit/>
                      </wps:bodyPr>
                    </wps:wsp>
                  </a:graphicData>
                </a:graphic>
              </wp:anchor>
            </w:drawing>
          </mc:Choice>
          <mc:Fallback>
            <w:pict>
              <v:rect id="shape_0" ID="Zone de texte 217" path="m0,0l-2147483645,0l-2147483645,-2147483646l0,-2147483646xe" fillcolor="white" stroked="t" o:allowincell="f" style="position:absolute;margin-left:-43.55pt;margin-top:-52.45pt;width:157.2pt;height:93.3pt;mso-wrap-style:none;v-text-anchor:middle;mso-position-horizontal-relative:margin" wp14:anchorId="2E2BBA03">
                <v:fill o:detectmouseclick="t" type="solid" color2="black"/>
                <v:stroke color="black" weight="9360" joinstyle="miter" endcap="flat"/>
                <v:textbox>
                  <w:txbxContent>
                    <w:p>
                      <w:pPr>
                        <w:pStyle w:val="Contenudecadre"/>
                        <w:rPr/>
                      </w:pPr>
                      <w:r>
                        <w:rPr/>
                        <w:drawing>
                          <wp:inline distT="0" distB="0" distL="0" distR="0">
                            <wp:extent cx="1749425" cy="1038225"/>
                            <wp:effectExtent l="0" t="0" r="0" b="0"/>
                            <wp:docPr id="4"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
                                    <pic:cNvPicPr>
                                      <a:picLocks noChangeAspect="1" noChangeArrowheads="1"/>
                                    </pic:cNvPicPr>
                                  </pic:nvPicPr>
                                  <pic:blipFill>
                                    <a:blip r:embed="rId3"/>
                                    <a:srcRect l="-60" t="-112" r="-60" b="-112"/>
                                    <a:stretch>
                                      <a:fillRect/>
                                    </a:stretch>
                                  </pic:blipFill>
                                  <pic:spPr bwMode="auto">
                                    <a:xfrm>
                                      <a:off x="0" y="0"/>
                                      <a:ext cx="1749425" cy="1038225"/>
                                    </a:xfrm>
                                    <a:prstGeom prst="rect">
                                      <a:avLst/>
                                    </a:prstGeom>
                                  </pic:spPr>
                                </pic:pic>
                              </a:graphicData>
                            </a:graphic>
                          </wp:inline>
                        </w:drawing>
                      </w:r>
                    </w:p>
                  </w:txbxContent>
                </v:textbox>
                <w10:wrap type="square"/>
              </v:rect>
            </w:pict>
          </mc:Fallback>
        </mc:AlternateContent>
      </w:r>
      <w:r>
        <w:rPr>
          <w:rFonts w:ascii="Arial" w:hAnsi="Arial"/>
          <w:b w:val="false"/>
          <w:sz w:val="24"/>
        </w:rPr>
        <w:tab/>
      </w:r>
    </w:p>
    <w:p>
      <w:pPr>
        <w:pStyle w:val="Titreprincipal"/>
        <w:ind w:firstLine="708"/>
        <w:jc w:val="left"/>
        <w:rPr>
          <w:rFonts w:ascii="Arial" w:hAnsi="Arial"/>
          <w:b w:val="false"/>
          <w:b w:val="false"/>
          <w:sz w:val="24"/>
        </w:rPr>
      </w:pPr>
      <w:r>
        <w:rPr>
          <w:rFonts w:ascii="Arial" w:hAnsi="Arial"/>
          <w:b w:val="false"/>
          <w:sz w:val="24"/>
        </w:rPr>
      </w:r>
    </w:p>
    <w:p>
      <w:pPr>
        <w:pStyle w:val="Titreprincipal"/>
        <w:ind w:firstLine="708"/>
        <w:jc w:val="left"/>
        <w:rPr>
          <w:rFonts w:ascii="Arial" w:hAnsi="Arial"/>
          <w:b w:val="false"/>
          <w:b w:val="false"/>
          <w:sz w:val="24"/>
        </w:rPr>
      </w:pPr>
      <w:r>
        <w:rPr>
          <w:rFonts w:ascii="Arial" w:hAnsi="Arial"/>
          <w:b/>
          <w:sz w:val="28"/>
          <w:u w:val="single"/>
        </w:rPr>
      </w:r>
    </w:p>
    <w:p>
      <w:pPr>
        <w:pStyle w:val="Corpsdetexte"/>
        <w:rPr>
          <w:rFonts w:ascii="Arial" w:hAnsi="Arial"/>
          <w:b/>
          <w:b/>
          <w:sz w:val="28"/>
          <w:u w:val="single"/>
        </w:rPr>
      </w:pPr>
      <w:r>
        <w:rPr>
          <w:rFonts w:ascii="Arial" w:hAnsi="Arial"/>
          <w:b/>
          <w:sz w:val="28"/>
          <w:u w:val="single"/>
        </w:rPr>
      </w:r>
    </w:p>
    <w:p>
      <w:pPr>
        <w:pStyle w:val="Corpsdetexte"/>
        <w:jc w:val="center"/>
        <w:rPr>
          <w:rFonts w:ascii="Book Antiqua" w:hAnsi="Book Antiqua" w:cs="Calibri" w:cstheme="majorHAnsi"/>
          <w:b/>
          <w:b/>
          <w:sz w:val="22"/>
          <w:szCs w:val="22"/>
          <w:u w:val="single"/>
        </w:rPr>
      </w:pPr>
      <w:r>
        <w:rPr>
          <w:rFonts w:cs="Calibri" w:ascii="Book Antiqua" w:hAnsi="Book Antiqua" w:cstheme="majorHAnsi"/>
          <w:b/>
          <w:sz w:val="22"/>
          <w:szCs w:val="22"/>
          <w:u w:val="single"/>
        </w:rPr>
        <w:t>La Fête de Mai - Projet culturel et artistique dans un environnement rural de Wallonie</w:t>
      </w:r>
    </w:p>
    <w:p>
      <w:pPr>
        <w:pStyle w:val="Corpsdetexte"/>
        <w:rPr>
          <w:rFonts w:ascii="Book Antiqua" w:hAnsi="Book Antiqua" w:cs="Calibri" w:cstheme="majorHAnsi"/>
          <w:b/>
          <w:b/>
          <w:sz w:val="22"/>
          <w:szCs w:val="22"/>
          <w:u w:val="single"/>
        </w:rPr>
      </w:pPr>
      <w:r>
        <w:rPr>
          <w:rFonts w:cs="Calibri" w:cstheme="majorHAnsi" w:ascii="Book Antiqua" w:hAnsi="Book Antiqua"/>
          <w:b/>
          <w:sz w:val="22"/>
          <w:szCs w:val="22"/>
          <w:u w:val="single"/>
        </w:rPr>
      </w:r>
    </w:p>
    <w:p>
      <w:pPr>
        <w:pStyle w:val="Corpsdetexte"/>
        <w:rPr>
          <w:rFonts w:ascii="Book Antiqua" w:hAnsi="Book Antiqua" w:cs="Calibri" w:cstheme="majorHAnsi"/>
          <w:sz w:val="22"/>
          <w:szCs w:val="22"/>
        </w:rPr>
      </w:pPr>
      <w:r>
        <w:rPr>
          <w:rFonts w:cs="Calibri" w:ascii="Book Antiqua" w:hAnsi="Book Antiqua" w:cstheme="majorHAnsi"/>
          <w:b/>
          <w:bCs/>
          <w:sz w:val="22"/>
          <w:szCs w:val="22"/>
        </w:rPr>
        <w:t>L’objet premier</w:t>
      </w:r>
      <w:r>
        <w:rPr>
          <w:rFonts w:cs="Calibri" w:ascii="Book Antiqua" w:hAnsi="Book Antiqua" w:cstheme="majorHAnsi"/>
          <w:sz w:val="22"/>
          <w:szCs w:val="22"/>
        </w:rPr>
        <w:t xml:space="preserve"> de notre asbl est la réalisation d’œuvres d’art en matériaux naturels en pleine nature, au bord des sentiers publics tout en réunissant une population rurale et la faire participer à la réalisation de ces oeuvres qui appartiendront à la collectivité. Les artistes viennent du monde entier, mais aussi de la région. Sur base d’un appel à projets, des œuvres sont choisies par un jury d’habitants et de professionnels du monde artistique. Les artistes sélectionnés réalisent leur œuvre dans les bois, vallées, carrières, en bordure de ruisseaux… Ces œuvres sont reliées entre elles par un sentier de promenades balisées, accessible toute l’année. Ces différentes promenades sont reprises sur une carte touristique disponible pour les visiteurs et présente sur le site de l’asbl Vagabond’Art. </w:t>
      </w:r>
    </w:p>
    <w:p>
      <w:pPr>
        <w:pStyle w:val="Corpsdetexte"/>
        <w:rPr>
          <w:rFonts w:ascii="Book Antiqua" w:hAnsi="Book Antiqua" w:cs="Calibri" w:cstheme="majorHAnsi"/>
          <w:sz w:val="22"/>
          <w:szCs w:val="22"/>
        </w:rPr>
      </w:pPr>
      <w:r>
        <w:rPr>
          <w:rFonts w:cs="Calibri" w:ascii="Book Antiqua" w:hAnsi="Book Antiqua" w:cstheme="majorHAnsi"/>
          <w:sz w:val="22"/>
          <w:szCs w:val="22"/>
        </w:rPr>
        <w:t>Pour favoriser les rencontres entre cultures différentes et promouvoir l’éducation artistique, les artistes logent chez l’habitant. Des volontaires prêtent main forte à la réalisation des œuvres et durant toute la période de l’événement, des activités artistiques, culturelles, sociales… sont organisées : théâtre, cinéma en plein air, conférences, débats, concerts, rencontres, soupers thématiques… Des écoles, des jeunes en difficulté ou en décrochage scolaire sont associés à l’événement.</w:t>
      </w:r>
    </w:p>
    <w:p>
      <w:pPr>
        <w:pStyle w:val="Normal"/>
        <w:jc w:val="both"/>
        <w:rPr>
          <w:rFonts w:ascii="Book Antiqua" w:hAnsi="Book Antiqua" w:cs="Calibri" w:cstheme="majorHAnsi"/>
          <w:sz w:val="22"/>
          <w:szCs w:val="22"/>
        </w:rPr>
      </w:pPr>
      <w:r>
        <w:rPr>
          <w:rFonts w:cs="Calibri" w:ascii="Book Antiqua" w:hAnsi="Book Antiqua" w:cstheme="majorHAnsi"/>
          <w:b/>
          <w:bCs/>
          <w:sz w:val="22"/>
          <w:szCs w:val="22"/>
        </w:rPr>
        <w:t>Les objectifs poursuivis</w:t>
      </w:r>
      <w:r>
        <w:rPr>
          <w:rFonts w:cs="Calibri" w:ascii="Book Antiqua" w:hAnsi="Book Antiqua" w:cstheme="majorHAnsi"/>
          <w:sz w:val="22"/>
          <w:szCs w:val="22"/>
        </w:rPr>
        <w:t xml:space="preserve"> par notre asbl sont : </w:t>
      </w:r>
    </w:p>
    <w:p>
      <w:pPr>
        <w:pStyle w:val="Normal"/>
        <w:numPr>
          <w:ilvl w:val="0"/>
          <w:numId w:val="2"/>
        </w:numPr>
        <w:jc w:val="both"/>
        <w:rPr>
          <w:rFonts w:ascii="Book Antiqua" w:hAnsi="Book Antiqua" w:cs="Calibri" w:cstheme="majorHAnsi"/>
          <w:sz w:val="22"/>
          <w:szCs w:val="22"/>
        </w:rPr>
      </w:pPr>
      <w:r>
        <w:rPr>
          <w:rFonts w:cs="Calibri" w:ascii="Book Antiqua" w:hAnsi="Book Antiqua" w:cstheme="majorHAnsi"/>
          <w:sz w:val="22"/>
          <w:szCs w:val="22"/>
        </w:rPr>
        <w:t>l’accès gratuit ou démocratique à des activités culturelles en milieu rural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la découverte de notre région en offrant un pôle d’intérêt aux visiteurs et randonneurs pour favoriser l’émergence d’un tourisme vert et durable de promenades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la valorisation de patrimoines ruraux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la valorisation de certains sites ou lieux oubliés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le renforcement de la dynamique par le partenariat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l’implication des citoyens « acteurs » et le renforcement de leur sentiment d’appartenance à la région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une meilleure connaissance de l’histoire de la région ;</w:t>
      </w:r>
    </w:p>
    <w:p>
      <w:pPr>
        <w:pStyle w:val="Normal"/>
        <w:numPr>
          <w:ilvl w:val="0"/>
          <w:numId w:val="1"/>
        </w:numPr>
        <w:jc w:val="both"/>
        <w:rPr>
          <w:rFonts w:ascii="Book Antiqua" w:hAnsi="Book Antiqua" w:cs="Calibri" w:cstheme="majorHAnsi"/>
          <w:b/>
          <w:b/>
          <w:sz w:val="22"/>
          <w:szCs w:val="22"/>
        </w:rPr>
      </w:pPr>
      <w:r>
        <w:rPr>
          <w:rFonts w:cs="Calibri" w:ascii="Book Antiqua" w:hAnsi="Book Antiqua" w:cstheme="majorHAnsi"/>
          <w:sz w:val="22"/>
          <w:szCs w:val="22"/>
        </w:rPr>
        <w:t>un apport de convivialité lors de soirées à thèmes ou culturelles .</w:t>
      </w:r>
    </w:p>
    <w:p>
      <w:pPr>
        <w:pStyle w:val="Normal"/>
        <w:numPr>
          <w:ilvl w:val="0"/>
          <w:numId w:val="1"/>
        </w:numPr>
        <w:jc w:val="both"/>
        <w:rPr>
          <w:rFonts w:ascii="Book Antiqua" w:hAnsi="Book Antiqua" w:cs="Calibri" w:cstheme="majorHAnsi"/>
          <w:sz w:val="22"/>
          <w:szCs w:val="22"/>
        </w:rPr>
      </w:pPr>
      <w:r>
        <w:rPr>
          <w:rFonts w:cs="Calibri" w:ascii="Book Antiqua" w:hAnsi="Book Antiqua" w:cstheme="majorHAnsi"/>
          <w:sz w:val="22"/>
          <w:szCs w:val="22"/>
        </w:rPr>
        <w:t>l’intégration de nouveaux habitants qui le souhaitent.</w:t>
      </w:r>
    </w:p>
    <w:p>
      <w:pPr>
        <w:pStyle w:val="Normal"/>
        <w:jc w:val="both"/>
        <w:rPr>
          <w:rFonts w:ascii="Book Antiqua" w:hAnsi="Book Antiqua" w:cs="Calibri" w:cstheme="majorHAnsi"/>
          <w:sz w:val="22"/>
          <w:szCs w:val="22"/>
        </w:rPr>
      </w:pPr>
      <w:r>
        <w:rPr>
          <w:rFonts w:ascii="Book Antiqua" w:hAnsi="Book Antiqua"/>
          <w:b/>
          <w:bCs/>
          <w:kern w:val="2"/>
          <w:sz w:val="22"/>
          <w:szCs w:val="22"/>
        </w:rPr>
        <w:t>L’originalité de notre projet</w:t>
      </w:r>
      <w:r>
        <w:rPr>
          <w:rFonts w:ascii="Book Antiqua" w:hAnsi="Book Antiqua"/>
          <w:kern w:val="2"/>
          <w:sz w:val="22"/>
          <w:szCs w:val="22"/>
        </w:rPr>
        <w:t xml:space="preserve"> est une remise en question des formes traditionnelles de l'art. L'artiste essaye de créer une synergie entre l'oeuvre et la nature en investissant le paysage de manière respectueuse. L'oeuvre devient révélatrice du paysage et un nouveau rapport avec le site s'établit. L'installation laisse à la nature le soin de décider du cours de sa vie.  Les installations sont exposées aux circonstances climatiques pouvant accélérer leur dégradation. Le spectateur assiste alors à une mutation des œuvres à ses divers stades de décomposition jusqu’au retour, parfois, de l’œuvre à la nature.</w:t>
      </w:r>
    </w:p>
    <w:p>
      <w:pPr>
        <w:pStyle w:val="Normal"/>
        <w:jc w:val="both"/>
        <w:rPr>
          <w:rFonts w:ascii="Book Antiqua" w:hAnsi="Book Antiqua" w:cs="Calibri" w:cstheme="majorHAnsi"/>
          <w:sz w:val="22"/>
          <w:szCs w:val="22"/>
        </w:rPr>
      </w:pPr>
      <w:r>
        <w:rPr>
          <w:rFonts w:cs="Calibri" w:cstheme="majorHAnsi" w:ascii="Book Antiqua" w:hAnsi="Book Antiqua"/>
          <w:sz w:val="22"/>
          <w:szCs w:val="22"/>
        </w:rPr>
      </w:r>
    </w:p>
    <w:p>
      <w:pPr>
        <w:pStyle w:val="Normal"/>
        <w:jc w:val="both"/>
        <w:rPr>
          <w:rFonts w:ascii="Book Antiqua" w:hAnsi="Book Antiqua"/>
          <w:b/>
          <w:b/>
          <w:bCs/>
          <w:sz w:val="22"/>
          <w:szCs w:val="22"/>
        </w:rPr>
      </w:pPr>
      <w:r>
        <w:rPr>
          <w:rFonts w:ascii="Book Antiqua" w:hAnsi="Book Antiqua"/>
          <w:b/>
          <w:bCs/>
          <w:sz w:val="22"/>
          <w:szCs w:val="22"/>
        </w:rPr>
        <w:t>Le projet « La Fête de Mai » est organisé par l’asbl Vagabond’Art et existe depuis plus de 20 ans. Il compte à son actif la réalisation de +/- 120 œuvres reprises dans un catalogue édité en 2021.</w:t>
      </w:r>
    </w:p>
    <w:p>
      <w:pPr>
        <w:pStyle w:val="Corpsdetexte"/>
        <w:rPr>
          <w:rFonts w:ascii="Book Antiqua" w:hAnsi="Book Antiqua" w:cs="Calibri" w:cstheme="majorHAnsi"/>
          <w:b/>
          <w:b/>
          <w:bCs/>
          <w:sz w:val="22"/>
          <w:szCs w:val="22"/>
        </w:rPr>
      </w:pPr>
      <w:hyperlink r:id="rId4">
        <w:r>
          <w:rPr>
            <w:rStyle w:val="LienInternet"/>
            <w:rFonts w:cs="Calibri" w:ascii="Book Antiqua" w:hAnsi="Book Antiqua" w:cstheme="majorHAnsi"/>
            <w:sz w:val="22"/>
            <w:szCs w:val="22"/>
          </w:rPr>
          <w:t>www.lafetedemai.org</w:t>
        </w:r>
      </w:hyperlink>
      <w:r>
        <w:rPr>
          <w:rFonts w:cs="Calibri" w:ascii="Book Antiqua" w:hAnsi="Book Antiqua" w:cstheme="majorHAnsi"/>
          <w:sz w:val="22"/>
          <w:szCs w:val="22"/>
        </w:rPr>
        <w:t xml:space="preserve">  </w:t>
      </w:r>
    </w:p>
    <w:sectPr>
      <w:type w:val="nextPage"/>
      <w:pgSz w:w="11906" w:h="16838"/>
      <w:pgMar w:left="1417" w:right="1417" w:gutter="0" w:header="0" w:top="1417" w:footer="0" w:bottom="1417"/>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Times New Roman">
    <w:charset w:val="01"/>
    <w:family w:val="roman"/>
    <w:pitch w:val="variable"/>
  </w:font>
  <w:font w:name="Lucida Grande">
    <w:charset w:val="01"/>
    <w:family w:val="roman"/>
    <w:pitch w:val="variable"/>
  </w:font>
  <w:font w:name="Liberation Sans">
    <w:altName w:val="Arial"/>
    <w:charset w:val="01"/>
    <w:family w:val="swiss"/>
    <w:pitch w:val="variable"/>
  </w:font>
  <w:font w:name="Arial">
    <w:charset w:val="01"/>
    <w:family w:val="roman"/>
    <w:pitch w:val="variable"/>
  </w:font>
  <w:font w:name="Book Antiqua">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2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B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 w:val="24"/>
        <w:szCs w:val="24"/>
        <w:lang w:val="fr-BE"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93b2c"/>
    <w:pPr>
      <w:widowControl/>
      <w:bidi w:val="0"/>
      <w:spacing w:before="0" w:after="0"/>
      <w:jc w:val="left"/>
    </w:pPr>
    <w:rPr>
      <w:rFonts w:ascii="Times New Roman" w:hAnsi="Times New Roman" w:eastAsia="Times New Roman" w:cs="Times New Roman"/>
      <w:color w:val="auto"/>
      <w:kern w:val="0"/>
      <w:sz w:val="24"/>
      <w:szCs w:val="20"/>
      <w:lang w:val="fr-FR" w:eastAsia="fr-FR" w:bidi="ar-SA"/>
    </w:rPr>
  </w:style>
  <w:style w:type="character" w:styleId="DefaultParagraphFont" w:default="1">
    <w:name w:val="Default Paragraph Font"/>
    <w:uiPriority w:val="1"/>
    <w:semiHidden/>
    <w:unhideWhenUsed/>
    <w:qFormat/>
    <w:rPr/>
  </w:style>
  <w:style w:type="character" w:styleId="CorpsdetexteCar" w:customStyle="1">
    <w:name w:val="Corps de texte Car"/>
    <w:basedOn w:val="DefaultParagraphFont"/>
    <w:qFormat/>
    <w:rsid w:val="00f93b2c"/>
    <w:rPr>
      <w:rFonts w:ascii="Times New Roman" w:hAnsi="Times New Roman" w:eastAsia="Times New Roman" w:cs="Times New Roman"/>
      <w:szCs w:val="20"/>
      <w:lang w:val="fr-FR"/>
    </w:rPr>
  </w:style>
  <w:style w:type="character" w:styleId="TitreCar" w:customStyle="1">
    <w:name w:val="Titre Car"/>
    <w:basedOn w:val="DefaultParagraphFont"/>
    <w:qFormat/>
    <w:rsid w:val="00f93b2c"/>
    <w:rPr>
      <w:rFonts w:ascii="Times New Roman" w:hAnsi="Times New Roman" w:eastAsia="Times New Roman" w:cs="Times New Roman"/>
      <w:b/>
      <w:sz w:val="28"/>
      <w:szCs w:val="20"/>
      <w:lang w:val="fr-FR"/>
    </w:rPr>
  </w:style>
  <w:style w:type="character" w:styleId="LienInternet">
    <w:name w:val="Lien Internet"/>
    <w:rsid w:val="00f93b2c"/>
    <w:rPr>
      <w:color w:val="0000FF"/>
      <w:u w:val="single"/>
    </w:rPr>
  </w:style>
  <w:style w:type="character" w:styleId="TextedebullesCar" w:customStyle="1">
    <w:name w:val="Texte de bulles Car"/>
    <w:basedOn w:val="DefaultParagraphFont"/>
    <w:link w:val="BalloonText"/>
    <w:uiPriority w:val="99"/>
    <w:semiHidden/>
    <w:qFormat/>
    <w:rsid w:val="00f93b2c"/>
    <w:rPr>
      <w:rFonts w:ascii="Lucida Grande" w:hAnsi="Lucida Grande" w:eastAsia="Times New Roman" w:cs="Lucida Grande"/>
      <w:sz w:val="18"/>
      <w:szCs w:val="18"/>
      <w:lang w:val="fr-FR"/>
    </w:rPr>
  </w:style>
  <w:style w:type="character" w:styleId="UnresolvedMention">
    <w:name w:val="Unresolved Mention"/>
    <w:basedOn w:val="DefaultParagraphFont"/>
    <w:uiPriority w:val="99"/>
    <w:semiHidden/>
    <w:unhideWhenUsed/>
    <w:qFormat/>
    <w:rsid w:val="001d4d39"/>
    <w:rPr>
      <w:color w:val="605E5C"/>
      <w:shd w:fill="E1DFDD" w:val="clear"/>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link w:val="CorpsdetexteCar"/>
    <w:rsid w:val="00f93b2c"/>
    <w:pPr>
      <w:jc w:val="both"/>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lang w:val="zxx" w:eastAsia="zxx" w:bidi="zxx"/>
    </w:rPr>
  </w:style>
  <w:style w:type="paragraph" w:styleId="Titreprincipal">
    <w:name w:val="Title"/>
    <w:basedOn w:val="Normal"/>
    <w:link w:val="TitreCar"/>
    <w:qFormat/>
    <w:rsid w:val="00f93b2c"/>
    <w:pPr>
      <w:jc w:val="center"/>
    </w:pPr>
    <w:rPr>
      <w:b/>
      <w:sz w:val="28"/>
    </w:rPr>
  </w:style>
  <w:style w:type="paragraph" w:styleId="BalloonText">
    <w:name w:val="Balloon Text"/>
    <w:basedOn w:val="Normal"/>
    <w:link w:val="TextedebullesCar"/>
    <w:uiPriority w:val="99"/>
    <w:semiHidden/>
    <w:unhideWhenUsed/>
    <w:qFormat/>
    <w:rsid w:val="00f93b2c"/>
    <w:pPr/>
    <w:rPr>
      <w:rFonts w:ascii="Lucida Grande" w:hAnsi="Lucida Grande" w:cs="Lucida Grande"/>
      <w:sz w:val="18"/>
      <w:szCs w:val="18"/>
    </w:rPr>
  </w:style>
  <w:style w:type="paragraph" w:styleId="ListParagraph">
    <w:name w:val="List Paragraph"/>
    <w:basedOn w:val="Normal"/>
    <w:uiPriority w:val="34"/>
    <w:qFormat/>
    <w:rsid w:val="00961f19"/>
    <w:pPr>
      <w:spacing w:before="0" w:after="0"/>
      <w:ind w:left="720" w:hanging="0"/>
      <w:contextualSpacing/>
    </w:pPr>
    <w:rPr/>
  </w:style>
  <w:style w:type="paragraph" w:styleId="Contenudecadre">
    <w:name w:val="Contenu de cadre"/>
    <w:basedOn w:val="Normal"/>
    <w:qFormat/>
    <w:pPr/>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1.jpeg"/><Relationship Id="rId4" Type="http://schemas.openxmlformats.org/officeDocument/2006/relationships/hyperlink" Target="http://www.lafetedemai.org/"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Application>LibreOffice/7.3.7.2$Linux_X86_64 LibreOffice_project/30$Build-2</Application>
  <AppVersion>15.0000</AppVersion>
  <Pages>1</Pages>
  <Words>460</Words>
  <Characters>2486</Characters>
  <CharactersWithSpaces>2927</CharactersWithSpaces>
  <Paragraphs>18</Paragraphs>
  <Company>Université de Namur</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2023-01-15T10:22:00Z</dcterms:created>
  <dc:creator>Greta Debois</dc:creator>
  <dc:description/>
  <dc:language>en-IE</dc:language>
  <cp:lastModifiedBy/>
  <dcterms:modified xsi:type="dcterms:W3CDTF">2023-05-24T19:29:52Z</dcterms:modified>
  <cp:revision>3</cp:revision>
  <dc:subject/>
  <dc:title/>
</cp:coreProperties>
</file>

<file path=docProps/custom.xml><?xml version="1.0" encoding="utf-8"?>
<Properties xmlns="http://schemas.openxmlformats.org/officeDocument/2006/custom-properties" xmlns:vt="http://schemas.openxmlformats.org/officeDocument/2006/docPropsVTypes"/>
</file>